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525.0" w:type="dxa"/>
        <w:jc w:val="left"/>
        <w:tblInd w:w="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5160"/>
        <w:gridCol w:w="5160"/>
        <w:tblGridChange w:id="0">
          <w:tblGrid>
            <w:gridCol w:w="5205"/>
            <w:gridCol w:w="5160"/>
            <w:gridCol w:w="5160"/>
          </w:tblGrid>
        </w:tblGridChange>
      </w:tblGrid>
      <w:tr>
        <w:trPr>
          <w:trHeight w:val="9855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FOCUS 1</w:t>
            </w:r>
          </w:p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TEACHING AND LEARNING</w:t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ind w:left="141" w:right="499" w:firstLine="0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Raising student achievement within an integrated curriculum with an emphasis on our priority learners and ESOL.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Develop learners (students, teachers &amp;/or caregivers) who: </w:t>
            </w:r>
          </w:p>
          <w:p w:rsidR="00000000" w:rsidDel="00000000" w:rsidP="00000000" w:rsidRDefault="00000000" w:rsidRPr="00000000" w14:paraId="00000009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*actively participate in the learning process</w:t>
            </w:r>
          </w:p>
          <w:p w:rsidR="00000000" w:rsidDel="00000000" w:rsidP="00000000" w:rsidRDefault="00000000" w:rsidRPr="00000000" w14:paraId="0000000B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                                         (Learner Agency)       </w:t>
            </w:r>
          </w:p>
          <w:p w:rsidR="00000000" w:rsidDel="00000000" w:rsidP="00000000" w:rsidRDefault="00000000" w:rsidRPr="00000000" w14:paraId="0000000C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*have a Growth Mindset </w:t>
            </w:r>
          </w:p>
          <w:p w:rsidR="00000000" w:rsidDel="00000000" w:rsidP="00000000" w:rsidRDefault="00000000" w:rsidRPr="00000000" w14:paraId="0000000D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*experience success </w:t>
            </w:r>
          </w:p>
          <w:p w:rsidR="00000000" w:rsidDel="00000000" w:rsidP="00000000" w:rsidRDefault="00000000" w:rsidRPr="00000000" w14:paraId="0000000F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* grow their capacity and capability</w:t>
            </w:r>
          </w:p>
          <w:p w:rsidR="00000000" w:rsidDel="00000000" w:rsidP="00000000" w:rsidRDefault="00000000" w:rsidRPr="00000000" w14:paraId="00000011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*participate &amp; contribute respectfully, </w:t>
            </w:r>
          </w:p>
          <w:p w:rsidR="00000000" w:rsidDel="00000000" w:rsidP="00000000" w:rsidRDefault="00000000" w:rsidRPr="00000000" w14:paraId="00000013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collaboratively (cooperatively)  &amp; collegially (relationships)</w:t>
            </w:r>
          </w:p>
          <w:p w:rsidR="00000000" w:rsidDel="00000000" w:rsidP="00000000" w:rsidRDefault="00000000" w:rsidRPr="00000000" w14:paraId="00000014">
            <w:pPr>
              <w:widowControl w:val="0"/>
              <w:ind w:left="342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ind w:left="0" w:right="497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ind w:right="499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Wider Community of Learners:</w:t>
            </w:r>
          </w:p>
          <w:p w:rsidR="00000000" w:rsidDel="00000000" w:rsidP="00000000" w:rsidRDefault="00000000" w:rsidRPr="00000000" w14:paraId="00000017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Participate as members of the Morrinsville Kāhui Ako in addressing the four levers of change </w:t>
            </w:r>
          </w:p>
          <w:p w:rsidR="00000000" w:rsidDel="00000000" w:rsidP="00000000" w:rsidRDefault="00000000" w:rsidRPr="00000000" w14:paraId="00000018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Challenge A: Teacher Efficacy</w:t>
            </w:r>
          </w:p>
          <w:p w:rsidR="00000000" w:rsidDel="00000000" w:rsidP="00000000" w:rsidRDefault="00000000" w:rsidRPr="00000000" w14:paraId="0000001A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Challenge B: Student Agency</w:t>
            </w:r>
          </w:p>
          <w:p w:rsidR="00000000" w:rsidDel="00000000" w:rsidP="00000000" w:rsidRDefault="00000000" w:rsidRPr="00000000" w14:paraId="0000001B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Challenge C: Family, Whanau &amp; </w:t>
            </w:r>
          </w:p>
          <w:p w:rsidR="00000000" w:rsidDel="00000000" w:rsidP="00000000" w:rsidRDefault="00000000" w:rsidRPr="00000000" w14:paraId="0000001C">
            <w:pPr>
              <w:widowControl w:val="0"/>
              <w:ind w:left="0" w:right="499" w:firstLine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                    Community Partnerships</w:t>
            </w:r>
          </w:p>
          <w:p w:rsidR="00000000" w:rsidDel="00000000" w:rsidP="00000000" w:rsidRDefault="00000000" w:rsidRPr="00000000" w14:paraId="0000001D">
            <w:pPr>
              <w:widowControl w:val="0"/>
              <w:ind w:left="0" w:right="499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Challenge D: Hauora (Health &amp; Wellbeing)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0</wp:posOffset>
                  </wp:positionV>
                  <wp:extent cx="2958353" cy="1885950"/>
                  <wp:effectExtent b="0" l="0" r="0" t="0"/>
                  <wp:wrapNone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353" cy="188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160" w:line="258" w:lineRule="auto"/>
              <w:jc w:val="center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160" w:line="258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FOCUS 2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120" w:line="258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SCHOOL CULTURE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120" w:line="258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Embrace and Embed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120" w:line="258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*Our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Mission Statement: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120" w:line="258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‘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‘A Rural School Making a Difference’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     Reaching our full potential as 21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Century Learners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120" w:line="258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Our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Vision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that all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learners will be: Self-motivated, Resilient, Problem Solvers, Communicators &amp;   Collaborators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120" w:line="240" w:lineRule="auto"/>
              <w:ind w:left="0" w:firstLine="0"/>
              <w:jc w:val="both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*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Our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Values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- we ‘caRe’: caring,attitude, respectful, responsible,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enviro ‘kids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’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Hauora-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by c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aring  for the health and wellbeing of all learners (socially,physically, environmentally, intellectually, spiritually &amp; emotionally)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120" w:line="258" w:lineRule="auto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*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the positive ethos of the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Enviroschools Kaupapa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and maintain our Green-Gold Enviro School Status.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147638</wp:posOffset>
                      </wp:positionV>
                      <wp:extent cx="2147466" cy="1195388"/>
                      <wp:effectExtent b="0" l="0" r="0" t="0"/>
                      <wp:wrapSquare wrapText="bothSides" distB="0" distT="0" distL="114300" distR="11430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046790" y="3149445"/>
                                <a:ext cx="2598420" cy="1261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2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4"/>
                                      <w:vertAlign w:val="baseline"/>
                                    </w:rPr>
                                    <w:t xml:space="preserve">STRATEGIC PLAN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4"/>
                                      <w:vertAlign w:val="baseline"/>
                                    </w:rPr>
                                    <w:t xml:space="preserve">Overview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8"/>
                                      <w:vertAlign w:val="baseline"/>
                                    </w:rPr>
                                    <w:t xml:space="preserve">20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8"/>
                                      <w:vertAlign w:val="baseline"/>
                                    </w:rPr>
                                    <w:t xml:space="preserve">20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8"/>
                                      <w:vertAlign w:val="baseline"/>
                                    </w:rPr>
                                    <w:t xml:space="preserve"> - 202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147638</wp:posOffset>
                      </wp:positionV>
                      <wp:extent cx="2147466" cy="1195388"/>
                      <wp:effectExtent b="0" l="0" r="0" t="0"/>
                      <wp:wrapSquare wrapText="bothSides" distB="0" distT="0" distL="114300" distR="11430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7466" cy="119538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160" w:line="258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FOCUS 3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160" w:line="258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INNOVATIVE LEARNING ENVIRONMENT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160" w:line="258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160" w:line="258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Provide a safe, up-to-date learning &amp; teaching environment for all learners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160" w:line="258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*Health &amp; Safety is paramount in consideration of and for all learners through good practice, monitoring  and  self review. </w:t>
            </w:r>
          </w:p>
          <w:p w:rsidR="00000000" w:rsidDel="00000000" w:rsidP="00000000" w:rsidRDefault="00000000" w:rsidRPr="00000000" w14:paraId="00000043">
            <w:pPr>
              <w:widowControl w:val="0"/>
              <w:ind w:left="720" w:firstLine="360"/>
              <w:rPr>
                <w:rFonts w:ascii="Comic Sans MS" w:cs="Comic Sans MS" w:eastAsia="Comic Sans MS" w:hAnsi="Comic Sans MS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*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Provide a learning and teaching environment that is well resourced to effectively support educational opportunities for all  learners. </w:t>
            </w:r>
          </w:p>
          <w:p w:rsidR="00000000" w:rsidDel="00000000" w:rsidP="00000000" w:rsidRDefault="00000000" w:rsidRPr="00000000" w14:paraId="00000046">
            <w:pPr>
              <w:widowControl w:val="0"/>
              <w:ind w:left="720" w:firstLine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*Effectively manage the Budget through forecasting, prioritising &amp; spending.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431.99999999999994" w:top="720" w:left="720" w:right="619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